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A7" w:rsidRDefault="00B729A7" w:rsidP="00B729A7">
      <w:pPr>
        <w:rPr>
          <w:rFonts w:ascii="黑体" w:eastAsia="黑体" w:hAnsi="黑体" w:cs="黑体" w:hint="eastAsia"/>
          <w:color w:val="000000"/>
          <w:sz w:val="32"/>
          <w:szCs w:val="32"/>
        </w:rPr>
      </w:pPr>
      <w:r>
        <w:rPr>
          <w:rFonts w:ascii="黑体" w:eastAsia="黑体" w:hAnsi="黑体" w:cs="黑体" w:hint="eastAsia"/>
          <w:color w:val="000000"/>
          <w:sz w:val="32"/>
          <w:szCs w:val="32"/>
        </w:rPr>
        <w:t>附件</w:t>
      </w:r>
    </w:p>
    <w:p w:rsidR="00B729A7" w:rsidRDefault="00B729A7" w:rsidP="00B729A7">
      <w:pPr>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石嘴山市纪委监委“谁执法谁普法”四个清单分解表</w:t>
      </w:r>
    </w:p>
    <w:tbl>
      <w:tblPr>
        <w:tblStyle w:val="a8"/>
        <w:tblpPr w:leftFromText="180" w:rightFromText="180" w:vertAnchor="text" w:tblpX="145" w:tblpY="338"/>
        <w:tblOverlap w:val="never"/>
        <w:tblW w:w="0" w:type="auto"/>
        <w:tblInd w:w="0" w:type="dxa"/>
        <w:tblLayout w:type="fixed"/>
        <w:tblLook w:val="0000" w:firstRow="0" w:lastRow="0" w:firstColumn="0" w:lastColumn="0" w:noHBand="0" w:noVBand="0"/>
      </w:tblPr>
      <w:tblGrid>
        <w:gridCol w:w="471"/>
        <w:gridCol w:w="1232"/>
        <w:gridCol w:w="2248"/>
        <w:gridCol w:w="4140"/>
        <w:gridCol w:w="3137"/>
        <w:gridCol w:w="1372"/>
        <w:gridCol w:w="1275"/>
      </w:tblGrid>
      <w:tr w:rsidR="00B729A7" w:rsidTr="007E29E7">
        <w:trPr>
          <w:trHeight w:val="423"/>
        </w:trPr>
        <w:tc>
          <w:tcPr>
            <w:tcW w:w="471" w:type="dxa"/>
            <w:vMerge w:val="restart"/>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序号</w:t>
            </w:r>
          </w:p>
        </w:tc>
        <w:tc>
          <w:tcPr>
            <w:tcW w:w="1232" w:type="dxa"/>
            <w:vMerge w:val="restart"/>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项目</w:t>
            </w:r>
          </w:p>
        </w:tc>
        <w:tc>
          <w:tcPr>
            <w:tcW w:w="2248" w:type="dxa"/>
            <w:vMerge w:val="restart"/>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内容清单</w:t>
            </w:r>
          </w:p>
        </w:tc>
        <w:tc>
          <w:tcPr>
            <w:tcW w:w="4140" w:type="dxa"/>
            <w:vMerge w:val="restart"/>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措施清单</w:t>
            </w:r>
          </w:p>
        </w:tc>
        <w:tc>
          <w:tcPr>
            <w:tcW w:w="3137" w:type="dxa"/>
            <w:vMerge w:val="restart"/>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标准清单</w:t>
            </w:r>
          </w:p>
        </w:tc>
        <w:tc>
          <w:tcPr>
            <w:tcW w:w="2647" w:type="dxa"/>
            <w:gridSpan w:val="2"/>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责任清单</w:t>
            </w:r>
          </w:p>
        </w:tc>
      </w:tr>
      <w:tr w:rsidR="00B729A7" w:rsidTr="007E29E7">
        <w:trPr>
          <w:trHeight w:val="264"/>
        </w:trPr>
        <w:tc>
          <w:tcPr>
            <w:tcW w:w="471" w:type="dxa"/>
            <w:vMerge/>
            <w:vAlign w:val="center"/>
          </w:tcPr>
          <w:p w:rsidR="00B729A7" w:rsidRDefault="00B729A7" w:rsidP="007E29E7">
            <w:pPr>
              <w:spacing w:line="300" w:lineRule="exact"/>
              <w:jc w:val="center"/>
              <w:rPr>
                <w:rFonts w:ascii="黑体" w:eastAsia="黑体" w:hAnsi="黑体" w:cs="黑体" w:hint="eastAsia"/>
                <w:color w:val="000000"/>
                <w:sz w:val="24"/>
              </w:rPr>
            </w:pPr>
          </w:p>
        </w:tc>
        <w:tc>
          <w:tcPr>
            <w:tcW w:w="1232" w:type="dxa"/>
            <w:vMerge/>
            <w:vAlign w:val="center"/>
          </w:tcPr>
          <w:p w:rsidR="00B729A7" w:rsidRDefault="00B729A7" w:rsidP="007E29E7">
            <w:pPr>
              <w:spacing w:line="300" w:lineRule="exact"/>
              <w:jc w:val="center"/>
              <w:rPr>
                <w:rFonts w:ascii="黑体" w:eastAsia="黑体" w:hAnsi="黑体" w:cs="黑体" w:hint="eastAsia"/>
                <w:color w:val="000000"/>
                <w:sz w:val="24"/>
              </w:rPr>
            </w:pPr>
          </w:p>
        </w:tc>
        <w:tc>
          <w:tcPr>
            <w:tcW w:w="2248" w:type="dxa"/>
            <w:vMerge/>
            <w:vAlign w:val="center"/>
          </w:tcPr>
          <w:p w:rsidR="00B729A7" w:rsidRDefault="00B729A7" w:rsidP="007E29E7">
            <w:pPr>
              <w:spacing w:line="300" w:lineRule="exact"/>
              <w:jc w:val="center"/>
              <w:rPr>
                <w:rFonts w:ascii="黑体" w:eastAsia="黑体" w:hAnsi="黑体" w:cs="黑体" w:hint="eastAsia"/>
                <w:color w:val="000000"/>
                <w:sz w:val="24"/>
              </w:rPr>
            </w:pPr>
          </w:p>
        </w:tc>
        <w:tc>
          <w:tcPr>
            <w:tcW w:w="4140" w:type="dxa"/>
            <w:vMerge/>
            <w:vAlign w:val="center"/>
          </w:tcPr>
          <w:p w:rsidR="00B729A7" w:rsidRDefault="00B729A7" w:rsidP="007E29E7">
            <w:pPr>
              <w:spacing w:line="300" w:lineRule="exact"/>
              <w:jc w:val="center"/>
              <w:rPr>
                <w:rFonts w:ascii="黑体" w:eastAsia="黑体" w:hAnsi="黑体" w:cs="黑体" w:hint="eastAsia"/>
                <w:color w:val="000000"/>
                <w:sz w:val="24"/>
              </w:rPr>
            </w:pPr>
          </w:p>
        </w:tc>
        <w:tc>
          <w:tcPr>
            <w:tcW w:w="3137" w:type="dxa"/>
            <w:vMerge/>
            <w:vAlign w:val="center"/>
          </w:tcPr>
          <w:p w:rsidR="00B729A7" w:rsidRDefault="00B729A7" w:rsidP="007E29E7">
            <w:pPr>
              <w:spacing w:line="300" w:lineRule="exact"/>
              <w:jc w:val="center"/>
              <w:rPr>
                <w:rFonts w:ascii="黑体" w:eastAsia="黑体" w:hAnsi="黑体" w:cs="黑体" w:hint="eastAsia"/>
                <w:color w:val="000000"/>
                <w:sz w:val="24"/>
              </w:rPr>
            </w:pPr>
          </w:p>
        </w:tc>
        <w:tc>
          <w:tcPr>
            <w:tcW w:w="1372" w:type="dxa"/>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普法责任主体</w:t>
            </w:r>
          </w:p>
        </w:tc>
        <w:tc>
          <w:tcPr>
            <w:tcW w:w="1275" w:type="dxa"/>
            <w:vAlign w:val="center"/>
          </w:tcPr>
          <w:p w:rsidR="00B729A7" w:rsidRDefault="00B729A7" w:rsidP="007E29E7">
            <w:pPr>
              <w:spacing w:line="300" w:lineRule="exact"/>
              <w:jc w:val="center"/>
              <w:rPr>
                <w:rFonts w:ascii="黑体" w:eastAsia="黑体" w:hAnsi="黑体" w:cs="黑体" w:hint="eastAsia"/>
                <w:color w:val="000000"/>
                <w:sz w:val="24"/>
              </w:rPr>
            </w:pPr>
            <w:r>
              <w:rPr>
                <w:rFonts w:ascii="黑体" w:eastAsia="黑体" w:hAnsi="黑体" w:cs="黑体" w:hint="eastAsia"/>
                <w:color w:val="000000"/>
                <w:sz w:val="24"/>
              </w:rPr>
              <w:t>普法对象</w:t>
            </w:r>
          </w:p>
        </w:tc>
      </w:tr>
      <w:tr w:rsidR="00B729A7" w:rsidTr="007E29E7">
        <w:trPr>
          <w:trHeight w:val="4770"/>
        </w:trPr>
        <w:tc>
          <w:tcPr>
            <w:tcW w:w="471"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w:t>
            </w:r>
          </w:p>
        </w:tc>
        <w:tc>
          <w:tcPr>
            <w:tcW w:w="1232"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习近平 法治思想</w:t>
            </w:r>
          </w:p>
        </w:tc>
        <w:tc>
          <w:tcPr>
            <w:tcW w:w="2248"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习近平法治思想</w:t>
            </w:r>
          </w:p>
        </w:tc>
        <w:tc>
          <w:tcPr>
            <w:tcW w:w="4140"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将习近平法治思想列入理论学习中心组、各党支部党员学习内容，通过专题会议、专门研讨等形式，深入开展习近平法治思想学习活动。2.制定学习培训计划，创新方式方法，通过举办培训班、学习班、研讨班，运用“学习强国”、干部教育培训网络学院等平台，组织开展多形式、分层次的学习培训。3.通过开展道德法治讲堂、报告会等活动，学习宣传习近平法治思想；组织推动新闻媒体以专题报道、组织访谈、开设专栏等方式，在全社会营造学习贯彻落实习近平法治思想浓厚氛围。</w:t>
            </w:r>
          </w:p>
        </w:tc>
        <w:tc>
          <w:tcPr>
            <w:tcW w:w="3137"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将学习宣传习近平法治思想纳入普法工作全局，与业务工作同部署、同检查、同落实。2.每年组织党员干部至少开展1次习近平法治思想专题学习或研讨培训。3.深刻认识习近平法治思想重大意义，吃透基本精神、把握核心要义、明确工作要求，在学懂弄通做实上下功夫，在学思悟贯通、知信行合一上见实效。4.通过广泛的学习宣传阐释工作，增强“四个意识”、坚定“四个自信”、做到“两个维护”。</w:t>
            </w:r>
          </w:p>
        </w:tc>
        <w:tc>
          <w:tcPr>
            <w:tcW w:w="1372"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机关党委、办公室牵头，各室组配合</w:t>
            </w:r>
          </w:p>
        </w:tc>
        <w:tc>
          <w:tcPr>
            <w:tcW w:w="1275"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委机关全体干部，社会公众。</w:t>
            </w:r>
          </w:p>
        </w:tc>
      </w:tr>
      <w:tr w:rsidR="00B729A7" w:rsidTr="007E29E7">
        <w:trPr>
          <w:trHeight w:val="2557"/>
        </w:trPr>
        <w:tc>
          <w:tcPr>
            <w:tcW w:w="471"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lastRenderedPageBreak/>
              <w:t>2</w:t>
            </w:r>
          </w:p>
        </w:tc>
        <w:tc>
          <w:tcPr>
            <w:tcW w:w="1232"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宪法</w:t>
            </w:r>
          </w:p>
        </w:tc>
        <w:tc>
          <w:tcPr>
            <w:tcW w:w="2248"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《宪法》及《国旗法》《国歌法》《国徽法》等相关法律法规</w:t>
            </w:r>
          </w:p>
        </w:tc>
        <w:tc>
          <w:tcPr>
            <w:tcW w:w="4140"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1.结合“12</w:t>
            </w:r>
            <w:r>
              <w:rPr>
                <w:rFonts w:ascii="汉仪大黑简" w:eastAsia="汉仪大黑简" w:hAnsi="汉仪大黑简" w:cs="汉仪大黑简" w:hint="eastAsia"/>
                <w:color w:val="000000"/>
                <w:sz w:val="24"/>
              </w:rPr>
              <w:t>·</w:t>
            </w:r>
            <w:r>
              <w:rPr>
                <w:rFonts w:ascii="仿宋_GB2312" w:eastAsia="仿宋_GB2312" w:hAnsi="仿宋_GB2312" w:cs="仿宋_GB2312" w:hint="eastAsia"/>
                <w:color w:val="000000"/>
                <w:sz w:val="24"/>
              </w:rPr>
              <w:t>4”国家宪法日，开展“宪法宣传周”活动，广泛开展宪法学习宣传教育。2.依照法律规定开展宪法宣誓活动。3.加强《国旗法》《国歌法》《国徽法》等宪法相关法的学习宣传，强化国家认同。</w:t>
            </w:r>
          </w:p>
        </w:tc>
        <w:tc>
          <w:tcPr>
            <w:tcW w:w="3137" w:type="dxa"/>
            <w:tcBorders>
              <w:bottom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推动党员干部带头尊崇宪法、学习宪法、遵守宪法、维护宪法、运用宪法，提升各级党员领导干部运用法治思维和法治方式解决问题的能力。2.大力弘扬宪法精神，推动宪法精神进基层，使宪法走入日常生活，走进人民群众心中。</w:t>
            </w:r>
          </w:p>
        </w:tc>
        <w:tc>
          <w:tcPr>
            <w:tcW w:w="1372" w:type="dxa"/>
            <w:tcBorders>
              <w:bottom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kern w:val="2"/>
                <w:sz w:val="24"/>
              </w:rPr>
            </w:pPr>
            <w:r>
              <w:rPr>
                <w:rFonts w:ascii="仿宋_GB2312" w:eastAsia="仿宋_GB2312" w:hAnsi="仿宋_GB2312" w:cs="仿宋_GB2312" w:hint="eastAsia"/>
                <w:color w:val="000000"/>
                <w:spacing w:val="-11"/>
                <w:sz w:val="24"/>
              </w:rPr>
              <w:t>办公室牵头，各室组配合</w:t>
            </w:r>
          </w:p>
        </w:tc>
        <w:tc>
          <w:tcPr>
            <w:tcW w:w="1275" w:type="dxa"/>
            <w:tcBorders>
              <w:bottom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委机关全体干部，社会公众</w:t>
            </w:r>
          </w:p>
        </w:tc>
      </w:tr>
      <w:tr w:rsidR="00B729A7" w:rsidTr="007E29E7">
        <w:trPr>
          <w:trHeight w:val="4660"/>
        </w:trPr>
        <w:tc>
          <w:tcPr>
            <w:tcW w:w="471"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w:t>
            </w:r>
          </w:p>
        </w:tc>
        <w:tc>
          <w:tcPr>
            <w:tcW w:w="1232"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中国特色社会主义法律体系</w:t>
            </w:r>
          </w:p>
        </w:tc>
        <w:tc>
          <w:tcPr>
            <w:tcW w:w="2248"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民法典》《刑法》《刑事诉讼法》《民事诉讼法》《行政许可法》《行政处罚法》《行政强制法》《行政诉讼法》《行政复议法》《保密法》《国家安全法》《反分裂国家法》《安全生产法》《禁毒法》《民族区域自治法》《国家赔偿法》《劳动法》等法律法规</w:t>
            </w:r>
          </w:p>
        </w:tc>
        <w:tc>
          <w:tcPr>
            <w:tcW w:w="4140"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落实主要负责人履行推进法治建设第一责任人职责规定，带头讲法治课，做学法表率，全面实行领导干部年终述法制度。2.利用“民法典”宣传月、安全生产月、保密宣传月、民族团结月等重要时间节点开展普法学习宣传。3.把法治教育纳入干部教育培训总体规划，健全完善干部学法用法培训机制，加强对干部学法用法考核。4.大力开展法治文化建设，运用各类媒体、平台、普法宣传阵地普及法律知识，传播法治信仰。5.将普法宣传工作纳入效能考核，作为评先选优、选拔任用干部重要依据。</w:t>
            </w:r>
          </w:p>
        </w:tc>
        <w:tc>
          <w:tcPr>
            <w:tcW w:w="3137" w:type="dxa"/>
            <w:tcBorders>
              <w:top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主要负责人在年终述职述廉的同时进行述法。2.理论中心组每年对相关法律内容的学习不少于1次。3.积极利用法律宣传日、宣传周、宣传月等载体开展法治宣传活动，每年不少于1次。4.每年开展一次处级以下干部网上学法用法无纸化考试，参学率、通过率达98%以上。5.法治文化阵地建设成效显著，法治文化氛围浓厚。</w:t>
            </w:r>
          </w:p>
        </w:tc>
        <w:tc>
          <w:tcPr>
            <w:tcW w:w="1372" w:type="dxa"/>
            <w:tcBorders>
              <w:top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kern w:val="2"/>
                <w:sz w:val="24"/>
              </w:rPr>
            </w:pPr>
            <w:r>
              <w:rPr>
                <w:rFonts w:ascii="仿宋_GB2312" w:eastAsia="仿宋_GB2312" w:hAnsi="仿宋_GB2312" w:cs="仿宋_GB2312" w:hint="eastAsia"/>
                <w:color w:val="000000"/>
                <w:sz w:val="24"/>
              </w:rPr>
              <w:t>办公室牵头，局机关各科（室、处、中心）配合</w:t>
            </w:r>
          </w:p>
        </w:tc>
        <w:tc>
          <w:tcPr>
            <w:tcW w:w="1275" w:type="dxa"/>
            <w:tcBorders>
              <w:top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kern w:val="2"/>
                <w:sz w:val="24"/>
              </w:rPr>
            </w:pPr>
            <w:r>
              <w:rPr>
                <w:rFonts w:ascii="仿宋_GB2312" w:eastAsia="仿宋_GB2312" w:hAnsi="仿宋_GB2312" w:cs="仿宋_GB2312" w:hint="eastAsia"/>
                <w:color w:val="000000"/>
                <w:sz w:val="24"/>
              </w:rPr>
              <w:t>委机关全体干部，社会公众</w:t>
            </w:r>
          </w:p>
        </w:tc>
      </w:tr>
      <w:tr w:rsidR="00B729A7" w:rsidTr="007E29E7">
        <w:trPr>
          <w:trHeight w:val="4040"/>
        </w:trPr>
        <w:tc>
          <w:tcPr>
            <w:tcW w:w="471" w:type="dxa"/>
            <w:vAlign w:val="center"/>
          </w:tcPr>
          <w:p w:rsidR="00B729A7" w:rsidRDefault="00B729A7" w:rsidP="007E29E7">
            <w:pPr>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4</w:t>
            </w:r>
          </w:p>
        </w:tc>
        <w:tc>
          <w:tcPr>
            <w:tcW w:w="1232" w:type="dxa"/>
            <w:vAlign w:val="center"/>
          </w:tcPr>
          <w:p w:rsidR="00B729A7" w:rsidRDefault="00B729A7" w:rsidP="007E29E7">
            <w:pPr>
              <w:spacing w:line="300" w:lineRule="exact"/>
              <w:rPr>
                <w:rFonts w:ascii="仿宋_GB2312" w:eastAsia="仿宋_GB2312" w:hAnsi="仿宋_GB2312" w:cs="仿宋_GB2312" w:hint="eastAsia"/>
                <w:color w:val="000000"/>
                <w:kern w:val="2"/>
                <w:sz w:val="24"/>
              </w:rPr>
            </w:pPr>
            <w:r>
              <w:rPr>
                <w:rFonts w:ascii="仿宋_GB2312" w:eastAsia="仿宋_GB2312" w:hAnsi="仿宋_GB2312" w:cs="仿宋_GB2312" w:hint="eastAsia"/>
                <w:color w:val="000000"/>
                <w:sz w:val="24"/>
              </w:rPr>
              <w:t>中国共产党党内法规</w:t>
            </w:r>
          </w:p>
        </w:tc>
        <w:tc>
          <w:tcPr>
            <w:tcW w:w="2248" w:type="dxa"/>
            <w:vAlign w:val="center"/>
          </w:tcPr>
          <w:p w:rsidR="00B729A7" w:rsidRDefault="00B729A7" w:rsidP="007E29E7">
            <w:pPr>
              <w:spacing w:line="300" w:lineRule="exact"/>
              <w:rPr>
                <w:rFonts w:ascii="仿宋_GB2312" w:eastAsia="仿宋_GB2312" w:hAnsi="仿宋_GB2312" w:cs="仿宋_GB2312" w:hint="eastAsia"/>
                <w:color w:val="000000"/>
                <w:kern w:val="2"/>
                <w:sz w:val="24"/>
              </w:rPr>
            </w:pPr>
            <w:r>
              <w:rPr>
                <w:rFonts w:ascii="仿宋_GB2312" w:eastAsia="仿宋_GB2312" w:hAnsi="仿宋_GB2312" w:cs="仿宋_GB2312" w:hint="eastAsia"/>
                <w:color w:val="000000"/>
                <w:sz w:val="24"/>
              </w:rPr>
              <w:t>《党章》《中国共产党支部工作条例》《中国共产党党员教育管理工作条例》《中国共产党党员权利保障条例》《中国共产党宣传工作条例》《中国共产党重大事项请示报告条例》《关于新形势下党内政治生活的若干准则》等党内法规</w:t>
            </w:r>
          </w:p>
        </w:tc>
        <w:tc>
          <w:tcPr>
            <w:tcW w:w="4140"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1.以党支部为单位每季度分专题开展集中学习，将对党内法规的学习纳入其中，定期组织开展研讨。</w:t>
            </w:r>
          </w:p>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2.抓好支部书记述职述责，其中必须要体现学习党内法规的内容。</w:t>
            </w:r>
          </w:p>
          <w:p w:rsidR="00B729A7" w:rsidRDefault="00B729A7" w:rsidP="007E29E7">
            <w:pPr>
              <w:spacing w:line="300" w:lineRule="exact"/>
              <w:rPr>
                <w:color w:val="000000"/>
              </w:rPr>
            </w:pPr>
            <w:r>
              <w:rPr>
                <w:rFonts w:ascii="仿宋_GB2312" w:eastAsia="仿宋_GB2312" w:hAnsi="仿宋_GB2312" w:cs="仿宋_GB2312" w:hint="eastAsia"/>
                <w:color w:val="000000"/>
                <w:sz w:val="24"/>
              </w:rPr>
              <w:t>3.利用青年理论学习小组，“青年学习沙龙”文化角等方式，增强年轻干部学习党内法规的意识。</w:t>
            </w:r>
          </w:p>
        </w:tc>
        <w:tc>
          <w:tcPr>
            <w:tcW w:w="3137" w:type="dxa"/>
            <w:tcBorders>
              <w:top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1.把学懂弄通做实习近平新时代中国特色社会主义思想作为首要政治任务。</w:t>
            </w:r>
          </w:p>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2.以对党内法规的深入学习，不断深化对全面从严治党新思想新观点新要求的理解把握，在学思践悟中不断增强思想自觉、政治自觉和行动自觉。</w:t>
            </w:r>
          </w:p>
          <w:p w:rsidR="00B729A7" w:rsidRDefault="00B729A7" w:rsidP="007E29E7">
            <w:pPr>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3.加强对纪检监察干部的监督，打造信念过硬、政治过硬、责任过硬、能力过硬、作风过硬的坚强队伍。</w:t>
            </w:r>
          </w:p>
        </w:tc>
        <w:tc>
          <w:tcPr>
            <w:tcW w:w="1372" w:type="dxa"/>
            <w:tcBorders>
              <w:top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机关党委、各党支部</w:t>
            </w:r>
          </w:p>
        </w:tc>
        <w:tc>
          <w:tcPr>
            <w:tcW w:w="1275" w:type="dxa"/>
            <w:tcBorders>
              <w:top w:val="single" w:sz="4" w:space="0" w:color="auto"/>
            </w:tcBorders>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委机关全体干部，全市党员干部</w:t>
            </w:r>
          </w:p>
        </w:tc>
      </w:tr>
      <w:tr w:rsidR="00B729A7" w:rsidTr="007E29E7">
        <w:trPr>
          <w:trHeight w:val="3453"/>
        </w:trPr>
        <w:tc>
          <w:tcPr>
            <w:tcW w:w="471"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w:t>
            </w:r>
          </w:p>
        </w:tc>
        <w:tc>
          <w:tcPr>
            <w:tcW w:w="1232" w:type="dxa"/>
            <w:vAlign w:val="center"/>
          </w:tcPr>
          <w:p w:rsidR="00B729A7" w:rsidRDefault="00B729A7" w:rsidP="007E29E7">
            <w:pPr>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与业务有关的党纪法规</w:t>
            </w:r>
          </w:p>
        </w:tc>
        <w:tc>
          <w:tcPr>
            <w:tcW w:w="2248"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中国共产党纪律检查委员会工作条例》《中国共产党党内监督条例》《中国共产党纪律处分条例》《中国共产党问责条例》《中国共产党廉洁自律准则》《公务员法》《政务处分法》《行政机关公务员处分条例》《监察法》《监察法实施条例》《监察官法》</w:t>
            </w:r>
          </w:p>
        </w:tc>
        <w:tc>
          <w:tcPr>
            <w:tcW w:w="4140"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1.按照相关法律法规，规范机关内部执纪执法工作流程,开展机关内部业务和党纪法规的辅导和培训，举办全市纪检监察干部综合业务培训班。</w:t>
            </w:r>
          </w:p>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严格落实《石嘴山市纪检监察机关和司法机关、执法机关问题线索双向移送暨案件通报办法（试行）》和《石嘴山市查办党员和公职人员涉嫌违纪职务违法职务犯罪案件协作配合联席会议制度》，强化执纪与执法机关的协作配合。</w:t>
            </w:r>
          </w:p>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3.每季度开展案件质量评查工作，适时开展党纪政务处分决定执行情况检查。</w:t>
            </w:r>
          </w:p>
        </w:tc>
        <w:tc>
          <w:tcPr>
            <w:tcW w:w="3137"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1、建设高素质专业化的干部队伍，切实锤炼让人“高看一眼”的能力作风，树立“政治素质高、忠诚干净担当、专业化能力强、敢于善于斗争的纪检监察铁军”形象。</w:t>
            </w:r>
          </w:p>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2、实现政治监督更加常态化、具体化，日常监督更加精准化、优质化，专项监督更加专业化、系统化。</w:t>
            </w:r>
          </w:p>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3、审查调查工作实现中央纪委提出的“二十四个字”目标，经得起人民和历史的检验。</w:t>
            </w:r>
          </w:p>
        </w:tc>
        <w:tc>
          <w:tcPr>
            <w:tcW w:w="1372"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11"/>
                <w:sz w:val="24"/>
              </w:rPr>
              <w:t>各派驻（出）纪检监察组，党风政风监督室，各监督检查室、审查调查室。</w:t>
            </w:r>
          </w:p>
        </w:tc>
        <w:tc>
          <w:tcPr>
            <w:tcW w:w="1275" w:type="dxa"/>
            <w:vAlign w:val="center"/>
          </w:tcPr>
          <w:p w:rsidR="00B729A7" w:rsidRDefault="00B729A7" w:rsidP="007E29E7">
            <w:pPr>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委机关全体干部，全市党员干部</w:t>
            </w:r>
          </w:p>
        </w:tc>
      </w:tr>
    </w:tbl>
    <w:p w:rsidR="008420E9" w:rsidRPr="00B729A7" w:rsidRDefault="008420E9">
      <w:pPr>
        <w:rPr>
          <w:rFonts w:hint="eastAsia"/>
        </w:rPr>
      </w:pPr>
      <w:bookmarkStart w:id="0" w:name="_GoBack"/>
      <w:bookmarkEnd w:id="0"/>
    </w:p>
    <w:sectPr w:rsidR="008420E9" w:rsidRPr="00B729A7">
      <w:pgSz w:w="16838" w:h="11906" w:orient="landscape"/>
      <w:pgMar w:top="1803" w:right="1440" w:bottom="1803" w:left="1440" w:header="851" w:footer="992" w:gutter="0"/>
      <w:pgNumType w:fmt="numberInDash"/>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74" w:rsidRDefault="00131474" w:rsidP="00B729A7">
      <w:r>
        <w:separator/>
      </w:r>
    </w:p>
  </w:endnote>
  <w:endnote w:type="continuationSeparator" w:id="0">
    <w:p w:rsidR="00131474" w:rsidRDefault="00131474" w:rsidP="00B7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汉仪大黑简">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74" w:rsidRDefault="00131474" w:rsidP="00B729A7">
      <w:r>
        <w:separator/>
      </w:r>
    </w:p>
  </w:footnote>
  <w:footnote w:type="continuationSeparator" w:id="0">
    <w:p w:rsidR="00131474" w:rsidRDefault="00131474" w:rsidP="00B7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3C"/>
    <w:rsid w:val="00131474"/>
    <w:rsid w:val="005B2B3C"/>
    <w:rsid w:val="006C2D21"/>
    <w:rsid w:val="008420E9"/>
    <w:rsid w:val="00B7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337E5"/>
  <w15:chartTrackingRefBased/>
  <w15:docId w15:val="{604E1AB2-3BBB-4A43-8F0B-8505C620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29A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729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729A7"/>
    <w:rPr>
      <w:sz w:val="18"/>
      <w:szCs w:val="18"/>
    </w:rPr>
  </w:style>
  <w:style w:type="paragraph" w:styleId="a6">
    <w:name w:val="footer"/>
    <w:basedOn w:val="a"/>
    <w:link w:val="a7"/>
    <w:uiPriority w:val="99"/>
    <w:unhideWhenUsed/>
    <w:rsid w:val="00B729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729A7"/>
    <w:rPr>
      <w:sz w:val="18"/>
      <w:szCs w:val="18"/>
    </w:rPr>
  </w:style>
  <w:style w:type="table" w:styleId="a8">
    <w:name w:val="Table Grid"/>
    <w:basedOn w:val="a2"/>
    <w:qFormat/>
    <w:rsid w:val="00B729A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B729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2</cp:revision>
  <dcterms:created xsi:type="dcterms:W3CDTF">2022-05-05T09:15:00Z</dcterms:created>
  <dcterms:modified xsi:type="dcterms:W3CDTF">2022-05-05T09:15:00Z</dcterms:modified>
</cp:coreProperties>
</file>